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24"/>
          <w:szCs w:val="24"/>
        </w:rPr>
      </w:pPr>
      <w:r w:rsidDel="00000000" w:rsidR="00000000" w:rsidRPr="00000000">
        <w:rPr>
          <w:b w:val="1"/>
          <w:sz w:val="24"/>
          <w:szCs w:val="24"/>
          <w:rtl w:val="0"/>
        </w:rPr>
        <w:t xml:space="preserve">Soledad-Mission Recreation District</w:t>
      </w:r>
    </w:p>
    <w:p w:rsidR="00000000" w:rsidDel="00000000" w:rsidP="00000000" w:rsidRDefault="00000000" w:rsidRPr="00000000" w14:paraId="00000002">
      <w:pPr>
        <w:spacing w:after="0" w:line="240" w:lineRule="auto"/>
        <w:jc w:val="center"/>
        <w:rPr>
          <w:b w:val="1"/>
          <w:sz w:val="24"/>
          <w:szCs w:val="24"/>
        </w:rPr>
      </w:pPr>
      <w:r w:rsidDel="00000000" w:rsidR="00000000" w:rsidRPr="00000000">
        <w:rPr>
          <w:b w:val="1"/>
          <w:sz w:val="24"/>
          <w:szCs w:val="24"/>
          <w:rtl w:val="0"/>
        </w:rPr>
        <w:t xml:space="preserve">Regular Board Meeting</w:t>
      </w:r>
    </w:p>
    <w:p w:rsidR="00000000" w:rsidDel="00000000" w:rsidP="00000000" w:rsidRDefault="00000000" w:rsidRPr="00000000" w14:paraId="00000003">
      <w:pPr>
        <w:spacing w:after="0" w:line="240" w:lineRule="auto"/>
        <w:jc w:val="center"/>
        <w:rPr>
          <w:b w:val="1"/>
          <w:sz w:val="24"/>
          <w:szCs w:val="24"/>
        </w:rPr>
      </w:pPr>
      <w:r w:rsidDel="00000000" w:rsidR="00000000" w:rsidRPr="00000000">
        <w:rPr>
          <w:b w:val="1"/>
          <w:sz w:val="24"/>
          <w:szCs w:val="24"/>
          <w:rtl w:val="0"/>
        </w:rPr>
        <w:t xml:space="preserve">October 28, 2025- 6 PM</w:t>
      </w:r>
    </w:p>
    <w:p w:rsidR="00000000" w:rsidDel="00000000" w:rsidP="00000000" w:rsidRDefault="00000000" w:rsidRPr="00000000" w14:paraId="00000004">
      <w:pPr>
        <w:spacing w:after="0" w:line="240" w:lineRule="auto"/>
        <w:jc w:val="center"/>
        <w:rPr>
          <w:b w:val="1"/>
          <w:sz w:val="24"/>
          <w:szCs w:val="24"/>
        </w:rPr>
      </w:pPr>
      <w:r w:rsidDel="00000000" w:rsidR="00000000" w:rsidRPr="00000000">
        <w:rPr>
          <w:b w:val="1"/>
          <w:sz w:val="24"/>
          <w:szCs w:val="24"/>
          <w:rtl w:val="0"/>
        </w:rPr>
        <w:t xml:space="preserve">District Offices 570 Walker Drive</w:t>
      </w:r>
    </w:p>
    <w:p w:rsidR="00000000" w:rsidDel="00000000" w:rsidP="00000000" w:rsidRDefault="00000000" w:rsidRPr="00000000" w14:paraId="00000005">
      <w:pPr>
        <w:spacing w:after="0" w:line="240" w:lineRule="auto"/>
        <w:jc w:val="center"/>
        <w:rPr>
          <w:b w:val="1"/>
          <w:sz w:val="24"/>
          <w:szCs w:val="24"/>
          <w:u w:val="single"/>
        </w:rPr>
      </w:pPr>
      <w:r w:rsidDel="00000000" w:rsidR="00000000" w:rsidRPr="00000000">
        <w:rPr>
          <w:b w:val="1"/>
          <w:sz w:val="24"/>
          <w:szCs w:val="24"/>
          <w:u w:val="single"/>
          <w:rtl w:val="0"/>
        </w:rPr>
        <w:t xml:space="preserve">Agenda</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before="224" w:line="340" w:lineRule="auto"/>
        <w:ind w:left="1980" w:right="811" w:firstLine="0"/>
        <w:jc w:val="center"/>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i w:val="1"/>
          <w:color w:val="000000"/>
          <w:sz w:val="18"/>
          <w:szCs w:val="18"/>
          <w:rtl w:val="0"/>
        </w:rPr>
        <w:t xml:space="preserve">We strive to host inclusive, accessible meetings that enable all individuals, including individuals with disabilities, to engage fully. To request an accommodation or for inquiries about accessibility, please contact the District.</w:t>
      </w:r>
    </w:p>
    <w:p w:rsidR="00000000" w:rsidDel="00000000" w:rsidP="00000000" w:rsidRDefault="00000000" w:rsidRPr="00000000" w14:paraId="00000007">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720" w:hanging="360"/>
        <w:rPr>
          <w:b w:val="1"/>
          <w:sz w:val="24"/>
          <w:szCs w:val="24"/>
        </w:rPr>
      </w:pPr>
      <w:r w:rsidDel="00000000" w:rsidR="00000000" w:rsidRPr="00000000">
        <w:rPr>
          <w:b w:val="1"/>
          <w:sz w:val="24"/>
          <w:szCs w:val="24"/>
          <w:rtl w:val="0"/>
        </w:rPr>
        <w:t xml:space="preserve">Call to Order &amp; Roll Call</w:t>
      </w:r>
    </w:p>
    <w:p w:rsidR="00000000" w:rsidDel="00000000" w:rsidP="00000000" w:rsidRDefault="00000000" w:rsidRPr="00000000" w14:paraId="00000009">
      <w:pPr>
        <w:numPr>
          <w:ilvl w:val="0"/>
          <w:numId w:val="1"/>
        </w:numPr>
        <w:spacing w:after="0" w:line="240" w:lineRule="auto"/>
        <w:ind w:left="720" w:hanging="360"/>
        <w:rPr>
          <w:b w:val="1"/>
          <w:sz w:val="24"/>
          <w:szCs w:val="24"/>
        </w:rPr>
      </w:pPr>
      <w:r w:rsidDel="00000000" w:rsidR="00000000" w:rsidRPr="00000000">
        <w:rPr>
          <w:b w:val="1"/>
          <w:sz w:val="24"/>
          <w:szCs w:val="24"/>
          <w:rtl w:val="0"/>
        </w:rPr>
        <w:t xml:space="preserve">Approval of the Agenda</w:t>
        <w:tab/>
        <w:tab/>
        <w:tab/>
        <w:tab/>
        <w:tab/>
        <w:tab/>
        <w:tab/>
        <w:tab/>
        <w:tab/>
        <w:t xml:space="preserve">Action</w:t>
      </w:r>
    </w:p>
    <w:p w:rsidR="00000000" w:rsidDel="00000000" w:rsidP="00000000" w:rsidRDefault="00000000" w:rsidRPr="00000000" w14:paraId="0000000A">
      <w:pPr>
        <w:numPr>
          <w:ilvl w:val="0"/>
          <w:numId w:val="1"/>
        </w:numPr>
        <w:spacing w:after="0" w:line="240" w:lineRule="auto"/>
        <w:ind w:left="720" w:hanging="360"/>
        <w:rPr>
          <w:b w:val="1"/>
          <w:sz w:val="24"/>
          <w:szCs w:val="24"/>
        </w:rPr>
      </w:pPr>
      <w:r w:rsidDel="00000000" w:rsidR="00000000" w:rsidRPr="00000000">
        <w:rPr>
          <w:b w:val="1"/>
          <w:sz w:val="24"/>
          <w:szCs w:val="24"/>
          <w:rtl w:val="0"/>
        </w:rPr>
        <w:t xml:space="preserve">Public Comment and Correspondence- </w:t>
      </w:r>
      <w:r w:rsidDel="00000000" w:rsidR="00000000" w:rsidRPr="00000000">
        <w:rPr>
          <w:i w:val="1"/>
          <w:sz w:val="24"/>
          <w:szCs w:val="24"/>
          <w:rtl w:val="0"/>
        </w:rPr>
        <w:t xml:space="preserve">Limit 3 minutes per comment on items not appearing on agenda.</w:t>
      </w:r>
      <w:r w:rsidDel="00000000" w:rsidR="00000000" w:rsidRPr="00000000">
        <w:rPr>
          <w:rtl w:val="0"/>
        </w:rPr>
      </w:r>
    </w:p>
    <w:p w:rsidR="00000000" w:rsidDel="00000000" w:rsidP="00000000" w:rsidRDefault="00000000" w:rsidRPr="00000000" w14:paraId="0000000B">
      <w:pPr>
        <w:numPr>
          <w:ilvl w:val="0"/>
          <w:numId w:val="1"/>
        </w:numPr>
        <w:spacing w:after="0" w:line="240" w:lineRule="auto"/>
        <w:ind w:left="720" w:hanging="360"/>
        <w:rPr>
          <w:b w:val="1"/>
          <w:sz w:val="24"/>
          <w:szCs w:val="24"/>
        </w:rPr>
      </w:pPr>
      <w:r w:rsidDel="00000000" w:rsidR="00000000" w:rsidRPr="00000000">
        <w:rPr>
          <w:b w:val="1"/>
          <w:sz w:val="24"/>
          <w:szCs w:val="24"/>
          <w:rtl w:val="0"/>
        </w:rPr>
        <w:t xml:space="preserve">Consent Agenda </w:t>
      </w:r>
      <w:r w:rsidDel="00000000" w:rsidR="00000000" w:rsidRPr="00000000">
        <w:rPr>
          <w:i w:val="1"/>
          <w:sz w:val="24"/>
          <w:szCs w:val="24"/>
          <w:rtl w:val="0"/>
        </w:rPr>
        <w:t xml:space="preserve">The consent agenda includes routine items that can be approved with a single motion and vote. A member of the Board of Directors may request that any item be pulled from the consent agenda for separate considerations</w:t>
        <w:tab/>
        <w:tab/>
      </w:r>
      <w:r w:rsidDel="00000000" w:rsidR="00000000" w:rsidRPr="00000000">
        <w:rPr>
          <w:b w:val="1"/>
          <w:sz w:val="24"/>
          <w:szCs w:val="24"/>
          <w:rtl w:val="0"/>
        </w:rPr>
        <w:tab/>
        <w:tab/>
        <w:tab/>
        <w:tab/>
        <w:tab/>
        <w:tab/>
        <w:t xml:space="preserve">Action</w:t>
      </w:r>
    </w:p>
    <w:p w:rsidR="00000000" w:rsidDel="00000000" w:rsidP="00000000" w:rsidRDefault="00000000" w:rsidRPr="00000000" w14:paraId="0000000C">
      <w:pPr>
        <w:numPr>
          <w:ilvl w:val="1"/>
          <w:numId w:val="1"/>
        </w:numPr>
        <w:spacing w:after="0" w:line="240" w:lineRule="auto"/>
        <w:ind w:left="1440" w:hanging="360"/>
        <w:rPr>
          <w:b w:val="1"/>
          <w:sz w:val="24"/>
          <w:szCs w:val="24"/>
        </w:rPr>
      </w:pPr>
      <w:r w:rsidDel="00000000" w:rsidR="00000000" w:rsidRPr="00000000">
        <w:rPr>
          <w:b w:val="1"/>
          <w:sz w:val="24"/>
          <w:szCs w:val="24"/>
          <w:rtl w:val="0"/>
        </w:rPr>
        <w:t xml:space="preserve">Approval of Minutes: </w:t>
      </w:r>
      <w:hyperlink r:id="rId7">
        <w:r w:rsidDel="00000000" w:rsidR="00000000" w:rsidRPr="00000000">
          <w:rPr>
            <w:b w:val="1"/>
            <w:color w:val="1155cc"/>
            <w:sz w:val="24"/>
            <w:szCs w:val="24"/>
            <w:u w:val="single"/>
            <w:rtl w:val="0"/>
          </w:rPr>
          <w:t xml:space="preserve">September 23, 2025</w:t>
        </w:r>
      </w:hyperlink>
      <w:r w:rsidDel="00000000" w:rsidR="00000000" w:rsidRPr="00000000">
        <w:rPr>
          <w:b w:val="1"/>
          <w:sz w:val="24"/>
          <w:szCs w:val="24"/>
          <w:rtl w:val="0"/>
        </w:rPr>
        <w:t xml:space="preserve">, and </w:t>
      </w:r>
      <w:hyperlink r:id="rId8">
        <w:r w:rsidDel="00000000" w:rsidR="00000000" w:rsidRPr="00000000">
          <w:rPr>
            <w:b w:val="1"/>
            <w:color w:val="1155cc"/>
            <w:sz w:val="24"/>
            <w:szCs w:val="24"/>
            <w:u w:val="single"/>
            <w:rtl w:val="0"/>
          </w:rPr>
          <w:t xml:space="preserve">Special Meeting October 21, 2025</w:t>
        </w:r>
      </w:hyperlink>
      <w:r w:rsidDel="00000000" w:rsidR="00000000" w:rsidRPr="00000000">
        <w:rPr>
          <w:rtl w:val="0"/>
        </w:rPr>
      </w:r>
    </w:p>
    <w:p w:rsidR="00000000" w:rsidDel="00000000" w:rsidP="00000000" w:rsidRDefault="00000000" w:rsidRPr="00000000" w14:paraId="0000000D">
      <w:pPr>
        <w:numPr>
          <w:ilvl w:val="1"/>
          <w:numId w:val="1"/>
        </w:numPr>
        <w:spacing w:after="0" w:line="240" w:lineRule="auto"/>
        <w:ind w:left="1440" w:hanging="360"/>
        <w:rPr>
          <w:b w:val="1"/>
          <w:sz w:val="24"/>
          <w:szCs w:val="24"/>
        </w:rPr>
      </w:pPr>
      <w:r w:rsidDel="00000000" w:rsidR="00000000" w:rsidRPr="00000000">
        <w:rPr>
          <w:b w:val="1"/>
          <w:sz w:val="24"/>
          <w:szCs w:val="24"/>
          <w:rtl w:val="0"/>
        </w:rPr>
        <w:t xml:space="preserve">Approval of Warrants: </w:t>
      </w:r>
      <w:hyperlink r:id="rId9">
        <w:r w:rsidDel="00000000" w:rsidR="00000000" w:rsidRPr="00000000">
          <w:rPr>
            <w:b w:val="1"/>
            <w:color w:val="1155cc"/>
            <w:sz w:val="24"/>
            <w:szCs w:val="24"/>
            <w:u w:val="single"/>
            <w:rtl w:val="0"/>
          </w:rPr>
          <w:t xml:space="preserve">September 23, 2025 to Date</w:t>
        </w:r>
      </w:hyperlink>
      <w:r w:rsidDel="00000000" w:rsidR="00000000" w:rsidRPr="00000000">
        <w:rPr>
          <w:rtl w:val="0"/>
        </w:rPr>
      </w:r>
    </w:p>
    <w:p w:rsidR="00000000" w:rsidDel="00000000" w:rsidP="00000000" w:rsidRDefault="00000000" w:rsidRPr="00000000" w14:paraId="0000000E">
      <w:pPr>
        <w:numPr>
          <w:ilvl w:val="1"/>
          <w:numId w:val="1"/>
        </w:numPr>
        <w:spacing w:after="0" w:line="240" w:lineRule="auto"/>
        <w:ind w:left="1440" w:hanging="360"/>
        <w:rPr>
          <w:b w:val="1"/>
          <w:sz w:val="24"/>
          <w:szCs w:val="24"/>
        </w:rPr>
      </w:pPr>
      <w:r w:rsidDel="00000000" w:rsidR="00000000" w:rsidRPr="00000000">
        <w:rPr>
          <w:b w:val="1"/>
          <w:sz w:val="24"/>
          <w:szCs w:val="24"/>
          <w:rtl w:val="0"/>
        </w:rPr>
        <w:t xml:space="preserve">Approval of </w:t>
      </w:r>
      <w:hyperlink r:id="rId10">
        <w:r w:rsidDel="00000000" w:rsidR="00000000" w:rsidRPr="00000000">
          <w:rPr>
            <w:b w:val="1"/>
            <w:color w:val="1155cc"/>
            <w:sz w:val="24"/>
            <w:szCs w:val="24"/>
            <w:u w:val="single"/>
            <w:rtl w:val="0"/>
          </w:rPr>
          <w:t xml:space="preserve">September 2025 Monthly Financial Reports</w:t>
        </w:r>
      </w:hyperlink>
      <w:r w:rsidDel="00000000" w:rsidR="00000000" w:rsidRPr="00000000">
        <w:rPr>
          <w:rtl w:val="0"/>
        </w:rPr>
      </w:r>
    </w:p>
    <w:p w:rsidR="00000000" w:rsidDel="00000000" w:rsidP="00000000" w:rsidRDefault="00000000" w:rsidRPr="00000000" w14:paraId="0000000F">
      <w:pPr>
        <w:numPr>
          <w:ilvl w:val="0"/>
          <w:numId w:val="1"/>
        </w:numPr>
        <w:spacing w:after="0" w:line="240" w:lineRule="auto"/>
        <w:ind w:left="720" w:hanging="360"/>
        <w:rPr>
          <w:b w:val="1"/>
          <w:sz w:val="24"/>
          <w:szCs w:val="24"/>
        </w:rPr>
      </w:pPr>
      <w:r w:rsidDel="00000000" w:rsidR="00000000" w:rsidRPr="00000000">
        <w:rPr>
          <w:b w:val="1"/>
          <w:sz w:val="24"/>
          <w:szCs w:val="24"/>
          <w:rtl w:val="0"/>
        </w:rPr>
        <w:t xml:space="preserve">Deferred Maintenance Project update:</w:t>
      </w:r>
    </w:p>
    <w:p w:rsidR="00000000" w:rsidDel="00000000" w:rsidP="00000000" w:rsidRDefault="00000000" w:rsidRPr="00000000" w14:paraId="00000010">
      <w:pPr>
        <w:numPr>
          <w:ilvl w:val="1"/>
          <w:numId w:val="1"/>
        </w:numPr>
        <w:spacing w:after="0" w:line="240" w:lineRule="auto"/>
        <w:ind w:left="1440" w:hanging="360"/>
        <w:rPr>
          <w:i w:val="1"/>
          <w:sz w:val="24"/>
          <w:szCs w:val="24"/>
        </w:rPr>
      </w:pPr>
      <w:hyperlink r:id="rId11">
        <w:r w:rsidDel="00000000" w:rsidR="00000000" w:rsidRPr="00000000">
          <w:rPr>
            <w:b w:val="1"/>
            <w:color w:val="1155cc"/>
            <w:sz w:val="24"/>
            <w:szCs w:val="24"/>
            <w:u w:val="single"/>
            <w:rtl w:val="0"/>
          </w:rPr>
          <w:t xml:space="preserve">Consideration of approval of change order:</w:t>
        </w:r>
      </w:hyperlink>
      <w:r w:rsidDel="00000000" w:rsidR="00000000" w:rsidRPr="00000000">
        <w:rPr>
          <w:b w:val="1"/>
          <w:sz w:val="24"/>
          <w:szCs w:val="24"/>
          <w:rtl w:val="0"/>
        </w:rPr>
        <w:t xml:space="preserve"> $26,993.46 </w:t>
      </w:r>
      <w:r w:rsidDel="00000000" w:rsidR="00000000" w:rsidRPr="00000000">
        <w:rPr>
          <w:i w:val="1"/>
          <w:sz w:val="24"/>
          <w:szCs w:val="24"/>
          <w:rtl w:val="0"/>
        </w:rPr>
        <w:t xml:space="preserve">Remove and rebuild gutter lip of pool as excessive rust was discovered during demolition of the gutter tile. This includes demolition of the existing gutter down to the level of the gutter floor, epoxy set new fiberglass rebar, and form and pour new gutter lip with Rapid Set Concrete Mix.</w:t>
        <w:tab/>
        <w:tab/>
        <w:tab/>
        <w:tab/>
      </w:r>
      <w:r w:rsidDel="00000000" w:rsidR="00000000" w:rsidRPr="00000000">
        <w:rPr>
          <w:b w:val="1"/>
          <w:sz w:val="24"/>
          <w:szCs w:val="24"/>
          <w:rtl w:val="0"/>
        </w:rPr>
        <w:t xml:space="preserve">ACTION</w:t>
      </w:r>
      <w:r w:rsidDel="00000000" w:rsidR="00000000" w:rsidRPr="00000000">
        <w:rPr>
          <w:rtl w:val="0"/>
        </w:rPr>
      </w:r>
    </w:p>
    <w:p w:rsidR="00000000" w:rsidDel="00000000" w:rsidP="00000000" w:rsidRDefault="00000000" w:rsidRPr="00000000" w14:paraId="00000011">
      <w:pPr>
        <w:numPr>
          <w:ilvl w:val="0"/>
          <w:numId w:val="1"/>
        </w:numPr>
        <w:spacing w:after="0" w:line="240" w:lineRule="auto"/>
        <w:ind w:left="720" w:hanging="360"/>
        <w:rPr>
          <w:b w:val="1"/>
          <w:sz w:val="24"/>
          <w:szCs w:val="24"/>
        </w:rPr>
      </w:pPr>
      <w:r w:rsidDel="00000000" w:rsidR="00000000" w:rsidRPr="00000000">
        <w:rPr>
          <w:b w:val="1"/>
          <w:sz w:val="24"/>
          <w:szCs w:val="24"/>
          <w:rtl w:val="0"/>
        </w:rPr>
        <w:t xml:space="preserve">Feasibility Analysis of Tax Revenue Efforts</w:t>
      </w:r>
    </w:p>
    <w:p w:rsidR="00000000" w:rsidDel="00000000" w:rsidP="00000000" w:rsidRDefault="00000000" w:rsidRPr="00000000" w14:paraId="00000012">
      <w:pPr>
        <w:numPr>
          <w:ilvl w:val="1"/>
          <w:numId w:val="1"/>
        </w:numPr>
        <w:spacing w:after="0" w:line="240" w:lineRule="auto"/>
        <w:ind w:left="1440" w:hanging="360"/>
        <w:rPr>
          <w:b w:val="1"/>
          <w:sz w:val="24"/>
          <w:szCs w:val="24"/>
        </w:rPr>
      </w:pPr>
      <w:r w:rsidDel="00000000" w:rsidR="00000000" w:rsidRPr="00000000">
        <w:rPr>
          <w:b w:val="1"/>
          <w:sz w:val="24"/>
          <w:szCs w:val="24"/>
          <w:rtl w:val="0"/>
        </w:rPr>
        <w:t xml:space="preserve">Presentation: Results of Tax Measure Feasibility Analysis by SCI Consulting Group. </w:t>
      </w:r>
    </w:p>
    <w:p w:rsidR="00000000" w:rsidDel="00000000" w:rsidP="00000000" w:rsidRDefault="00000000" w:rsidRPr="00000000" w14:paraId="00000013">
      <w:pPr>
        <w:numPr>
          <w:ilvl w:val="1"/>
          <w:numId w:val="1"/>
        </w:numPr>
        <w:spacing w:after="0" w:line="240" w:lineRule="auto"/>
        <w:ind w:left="1440" w:hanging="360"/>
        <w:rPr>
          <w:b w:val="1"/>
          <w:sz w:val="24"/>
          <w:szCs w:val="24"/>
        </w:rPr>
      </w:pPr>
      <w:r w:rsidDel="00000000" w:rsidR="00000000" w:rsidRPr="00000000">
        <w:rPr>
          <w:b w:val="1"/>
          <w:sz w:val="24"/>
          <w:szCs w:val="24"/>
          <w:rtl w:val="0"/>
        </w:rPr>
        <w:t xml:space="preserve">Action: Receive and accept the SCI Feasibility Analysis and Report and direct staff to proceed with the recommended next steps.</w:t>
        <w:tab/>
        <w:tab/>
        <w:tab/>
        <w:tab/>
        <w:tab/>
        <w:tab/>
        <w:tab/>
        <w:t xml:space="preserve">ACTION</w:t>
      </w:r>
    </w:p>
    <w:p w:rsidR="00000000" w:rsidDel="00000000" w:rsidP="00000000" w:rsidRDefault="00000000" w:rsidRPr="00000000" w14:paraId="00000014">
      <w:pPr>
        <w:numPr>
          <w:ilvl w:val="0"/>
          <w:numId w:val="1"/>
        </w:numPr>
        <w:spacing w:after="0" w:line="240" w:lineRule="auto"/>
        <w:ind w:left="720" w:hanging="360"/>
        <w:rPr>
          <w:b w:val="1"/>
          <w:sz w:val="24"/>
          <w:szCs w:val="24"/>
        </w:rPr>
      </w:pPr>
      <w:hyperlink r:id="rId12">
        <w:r w:rsidDel="00000000" w:rsidR="00000000" w:rsidRPr="00000000">
          <w:rPr>
            <w:b w:val="1"/>
            <w:color w:val="1155cc"/>
            <w:sz w:val="24"/>
            <w:szCs w:val="24"/>
            <w:u w:val="single"/>
            <w:rtl w:val="0"/>
          </w:rPr>
          <w:t xml:space="preserve">Operations Report</w:t>
        </w:r>
      </w:hyperlink>
      <w:r w:rsidDel="00000000" w:rsidR="00000000" w:rsidRPr="00000000">
        <w:rPr>
          <w:rtl w:val="0"/>
        </w:rPr>
      </w:r>
    </w:p>
    <w:p w:rsidR="00000000" w:rsidDel="00000000" w:rsidP="00000000" w:rsidRDefault="00000000" w:rsidRPr="00000000" w14:paraId="00000015">
      <w:pPr>
        <w:numPr>
          <w:ilvl w:val="0"/>
          <w:numId w:val="1"/>
        </w:numPr>
        <w:spacing w:after="0" w:line="240" w:lineRule="auto"/>
        <w:ind w:left="720" w:hanging="360"/>
        <w:rPr>
          <w:b w:val="1"/>
          <w:sz w:val="24"/>
          <w:szCs w:val="24"/>
        </w:rPr>
      </w:pPr>
      <w:hyperlink r:id="rId13">
        <w:r w:rsidDel="00000000" w:rsidR="00000000" w:rsidRPr="00000000">
          <w:rPr>
            <w:b w:val="1"/>
            <w:color w:val="1155cc"/>
            <w:sz w:val="24"/>
            <w:szCs w:val="24"/>
            <w:u w:val="single"/>
            <w:rtl w:val="0"/>
          </w:rPr>
          <w:t xml:space="preserve">Executive Director Report</w:t>
        </w:r>
      </w:hyperlink>
      <w:r w:rsidDel="00000000" w:rsidR="00000000" w:rsidRPr="00000000">
        <w:rPr>
          <w:rtl w:val="0"/>
        </w:rPr>
      </w:r>
    </w:p>
    <w:p w:rsidR="00000000" w:rsidDel="00000000" w:rsidP="00000000" w:rsidRDefault="00000000" w:rsidRPr="00000000" w14:paraId="00000016">
      <w:pPr>
        <w:numPr>
          <w:ilvl w:val="0"/>
          <w:numId w:val="1"/>
        </w:numPr>
        <w:spacing w:after="0" w:line="240" w:lineRule="auto"/>
        <w:ind w:left="720" w:hanging="360"/>
        <w:rPr>
          <w:b w:val="1"/>
          <w:sz w:val="24"/>
          <w:szCs w:val="24"/>
        </w:rPr>
      </w:pPr>
      <w:r w:rsidDel="00000000" w:rsidR="00000000" w:rsidRPr="00000000">
        <w:rPr>
          <w:b w:val="1"/>
          <w:sz w:val="24"/>
          <w:szCs w:val="24"/>
          <w:rtl w:val="0"/>
        </w:rPr>
        <w:t xml:space="preserve">Board Comments and Reports</w:t>
      </w:r>
    </w:p>
    <w:p w:rsidR="00000000" w:rsidDel="00000000" w:rsidP="00000000" w:rsidRDefault="00000000" w:rsidRPr="00000000" w14:paraId="00000017">
      <w:pPr>
        <w:numPr>
          <w:ilvl w:val="0"/>
          <w:numId w:val="1"/>
        </w:numPr>
        <w:spacing w:after="0" w:line="240" w:lineRule="auto"/>
        <w:ind w:left="720" w:hanging="360"/>
        <w:rPr>
          <w:b w:val="1"/>
          <w:sz w:val="24"/>
          <w:szCs w:val="24"/>
        </w:rPr>
      </w:pPr>
      <w:r w:rsidDel="00000000" w:rsidR="00000000" w:rsidRPr="00000000">
        <w:rPr>
          <w:b w:val="1"/>
          <w:sz w:val="24"/>
          <w:szCs w:val="24"/>
          <w:rtl w:val="0"/>
        </w:rPr>
        <w:t xml:space="preserve"> </w:t>
      </w:r>
      <w:r w:rsidDel="00000000" w:rsidR="00000000" w:rsidRPr="00000000">
        <w:rPr>
          <w:b w:val="1"/>
          <w:sz w:val="24"/>
          <w:szCs w:val="24"/>
          <w:u w:val="single"/>
          <w:rtl w:val="0"/>
        </w:rPr>
        <w:t xml:space="preserve">Adjournment</w:t>
      </w:r>
      <w:r w:rsidDel="00000000" w:rsidR="00000000" w:rsidRPr="00000000">
        <w:rPr>
          <w:rtl w:val="0"/>
        </w:rPr>
      </w:r>
    </w:p>
    <w:p w:rsidR="00000000" w:rsidDel="00000000" w:rsidP="00000000" w:rsidRDefault="00000000" w:rsidRPr="00000000" w14:paraId="00000018">
      <w:pPr>
        <w:spacing w:after="0" w:line="240" w:lineRule="auto"/>
        <w:rPr>
          <w:sz w:val="18"/>
          <w:szCs w:val="18"/>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sz w:val="56"/>
      <w:szCs w:val="56"/>
    </w:rPr>
  </w:style>
  <w:style w:type="paragraph" w:styleId="Heading7">
    <w:name w:val="heading 7"/>
    <w:basedOn w:val="Normal"/>
    <w:next w:val="Normal"/>
    <w:link w:val="Heading7Char"/>
    <w:uiPriority w:val="9"/>
    <w:semiHidden w:val="1"/>
    <w:unhideWhenUsed w:val="1"/>
    <w:qFormat w:val="1"/>
    <w:rsid w:val="00FB046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B046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B046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FB046E"/>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FB046E"/>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FB046E"/>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FB046E"/>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FB046E"/>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FB046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B046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B046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B046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B046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B046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B046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B046E"/>
    <w:rPr>
      <w:i w:val="1"/>
      <w:iCs w:val="1"/>
      <w:color w:val="404040" w:themeColor="text1" w:themeTint="0000BF"/>
    </w:rPr>
  </w:style>
  <w:style w:type="paragraph" w:styleId="ListParagraph">
    <w:name w:val="List Paragraph"/>
    <w:basedOn w:val="Normal"/>
    <w:uiPriority w:val="34"/>
    <w:qFormat w:val="1"/>
    <w:rsid w:val="00FB046E"/>
    <w:pPr>
      <w:ind w:left="720"/>
      <w:contextualSpacing w:val="1"/>
    </w:pPr>
  </w:style>
  <w:style w:type="character" w:styleId="IntenseEmphasis">
    <w:name w:val="Intense Emphasis"/>
    <w:basedOn w:val="DefaultParagraphFont"/>
    <w:uiPriority w:val="21"/>
    <w:qFormat w:val="1"/>
    <w:rsid w:val="00FB046E"/>
    <w:rPr>
      <w:i w:val="1"/>
      <w:iCs w:val="1"/>
      <w:color w:val="2f5496" w:themeColor="accent1" w:themeShade="0000BF"/>
    </w:rPr>
  </w:style>
  <w:style w:type="paragraph" w:styleId="IntenseQuote">
    <w:name w:val="Intense Quote"/>
    <w:basedOn w:val="Normal"/>
    <w:next w:val="Normal"/>
    <w:link w:val="IntenseQuoteChar"/>
    <w:uiPriority w:val="30"/>
    <w:qFormat w:val="1"/>
    <w:rsid w:val="00FB046E"/>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FB046E"/>
    <w:rPr>
      <w:i w:val="1"/>
      <w:iCs w:val="1"/>
      <w:color w:val="2f5496" w:themeColor="accent1" w:themeShade="0000BF"/>
    </w:rPr>
  </w:style>
  <w:style w:type="character" w:styleId="IntenseReference">
    <w:name w:val="Intense Reference"/>
    <w:basedOn w:val="DefaultParagraphFont"/>
    <w:uiPriority w:val="32"/>
    <w:qFormat w:val="1"/>
    <w:rsid w:val="00FB046E"/>
    <w:rPr>
      <w:b w:val="1"/>
      <w:bCs w:val="1"/>
      <w:smallCaps w:val="1"/>
      <w:color w:val="2f5496" w:themeColor="accent1" w:themeShade="0000BF"/>
      <w:spacing w:val="5"/>
    </w:rPr>
  </w:style>
  <w:style w:type="character" w:styleId="Hyperlink">
    <w:name w:val="Hyperlink"/>
    <w:basedOn w:val="DefaultParagraphFont"/>
    <w:uiPriority w:val="99"/>
    <w:unhideWhenUsed w:val="1"/>
    <w:rsid w:val="009C4F6E"/>
    <w:rPr>
      <w:color w:val="0000ff"/>
      <w:u w:val="single"/>
    </w:rPr>
  </w:style>
  <w:style w:type="paragraph" w:styleId="NormalWeb">
    <w:name w:val="Normal (Web)"/>
    <w:basedOn w:val="Normal"/>
    <w:uiPriority w:val="99"/>
    <w:unhideWhenUsed w:val="1"/>
    <w:rsid w:val="00E464BE"/>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E464BE"/>
    <w:rPr>
      <w:b w:val="1"/>
      <w:bCs w:val="1"/>
    </w:rPr>
  </w:style>
  <w:style w:type="character" w:styleId="Emphasis">
    <w:name w:val="Emphasis"/>
    <w:basedOn w:val="DefaultParagraphFont"/>
    <w:uiPriority w:val="20"/>
    <w:qFormat w:val="1"/>
    <w:rsid w:val="0090428E"/>
    <w:rPr>
      <w:i w:val="1"/>
      <w:iCs w:val="1"/>
    </w:rPr>
  </w:style>
  <w:style w:type="character" w:styleId="UnresolvedMention">
    <w:name w:val="Unresolved Mention"/>
    <w:basedOn w:val="DefaultParagraphFont"/>
    <w:uiPriority w:val="99"/>
    <w:semiHidden w:val="1"/>
    <w:unhideWhenUsed w:val="1"/>
    <w:rsid w:val="00A5084C"/>
    <w:rPr>
      <w:color w:val="605e5c"/>
      <w:shd w:color="auto" w:fill="e1dfdd" w:val="clear"/>
    </w:rPr>
  </w:style>
  <w:style w:type="character" w:styleId="FollowedHyperlink">
    <w:name w:val="FollowedHyperlink"/>
    <w:basedOn w:val="DefaultParagraphFont"/>
    <w:uiPriority w:val="99"/>
    <w:semiHidden w:val="1"/>
    <w:unhideWhenUsed w:val="1"/>
    <w:rsid w:val="00C9159F"/>
    <w:rPr>
      <w:color w:val="954f72" w:themeColor="followedHyperlink"/>
      <w:u w:val="single"/>
    </w:rPr>
  </w:style>
  <w:style w:type="paragraph" w:styleId="BodyText">
    <w:name w:val="Body Text"/>
    <w:basedOn w:val="Normal"/>
    <w:link w:val="BodyTextChar"/>
    <w:uiPriority w:val="1"/>
    <w:qFormat w:val="1"/>
    <w:rsid w:val="001C24A8"/>
    <w:pPr>
      <w:widowControl w:val="0"/>
      <w:autoSpaceDE w:val="0"/>
      <w:autoSpaceDN w:val="0"/>
      <w:adjustRightInd w:val="0"/>
      <w:spacing w:after="0" w:line="240" w:lineRule="auto"/>
    </w:pPr>
    <w:rPr>
      <w:rFonts w:ascii="Times New Roman" w:cs="Times New Roman" w:hAnsi="Times New Roman" w:eastAsiaTheme="minorEastAsia"/>
      <w:b w:val="1"/>
      <w:bCs w:val="1"/>
    </w:rPr>
  </w:style>
  <w:style w:type="character" w:styleId="BodyTextChar" w:customStyle="1">
    <w:name w:val="Body Text Char"/>
    <w:basedOn w:val="DefaultParagraphFont"/>
    <w:link w:val="BodyText"/>
    <w:uiPriority w:val="99"/>
    <w:rsid w:val="001C24A8"/>
    <w:rPr>
      <w:rFonts w:ascii="Times New Roman" w:cs="Times New Roman" w:hAnsi="Times New Roman" w:eastAsiaTheme="minorEastAsia"/>
      <w:b w:val="1"/>
      <w:b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open?id=1TGfkHpw78FsVvQnYQqg9Gty1ImmnroNj" TargetMode="External"/><Relationship Id="rId10" Type="http://schemas.openxmlformats.org/officeDocument/2006/relationships/hyperlink" Target="https://drive.google.com/open?id=1UtG5YGkx1EB_810-K3SI__rxCMvH_-A9" TargetMode="External"/><Relationship Id="rId13" Type="http://schemas.openxmlformats.org/officeDocument/2006/relationships/hyperlink" Target="https://docs.google.com/document/u/2/d/1zL2k28SdhRcBOy1675N96-frad3eyjMb/edit" TargetMode="External"/><Relationship Id="rId12" Type="http://schemas.openxmlformats.org/officeDocument/2006/relationships/hyperlink" Target="https://docs.google.com/document/u/2/d/1BTgFZ_2i1AkgG5ArNoXyvayB-cGqq2Z2/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u/2/d/1UxlvgC8_69tNzoiVONNvhUveaso65R_D/ed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u/2/d/1-FJXxtt7GyPpsMXBz8Suuk8LyfMov0dx/edit" TargetMode="External"/><Relationship Id="rId8" Type="http://schemas.openxmlformats.org/officeDocument/2006/relationships/hyperlink" Target="https://docs.google.com/document/u/2/d/1MnYy8DSL_yh9_G0i5KPEMMSsTxGBGhl4/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Oa/evWpOtoIzz3KsVfPjDjDZFQ==">CgMxLjA4AHIhMUo3M2JIb19TdF9KZWM1WW1FNTRJeHljeFE1eV9zV0V0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2025-10-24T22:34:00Z</dcterms:created>
  <dc:creator>Soledad Rec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a851ccd7d07255d1086ca29e9323a1f35aa584bc5269bd64246391c90f7c3375</vt:lpwstr>
  </property>
</Properties>
</file>